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76AD58C6">
      <w:pPr>
        <w:keepNext/>
        <w:keepLines/>
        <w:spacing w:before="260" w:after="260" w:line="416" w:lineRule="atLeast"/>
        <w:jc w:val="both"/>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《老年人营养膳食与保健》</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9D5CC5B">
      <w:pPr>
        <w:keepNext/>
        <w:keepLines/>
        <w:spacing w:before="260" w:after="260" w:line="416" w:lineRule="atLeast"/>
        <w:jc w:val="center"/>
        <w:outlineLvl w:val="1"/>
        <w:rPr>
          <w:rFonts w:hint="default" w:ascii="Times New Roman" w:hAnsi="Times New Roman" w:eastAsia="宋体"/>
          <w:b/>
          <w:bCs/>
          <w:color w:val="7030A0"/>
          <w:sz w:val="28"/>
          <w:szCs w:val="28"/>
          <w:lang w:val="en-US" w:eastAsia="zh-CN"/>
        </w:rPr>
      </w:pPr>
      <w:r>
        <w:rPr>
          <w:rFonts w:hint="eastAsia" w:ascii="微软简老宋" w:hAnsi="微软简老宋" w:eastAsia="微软简老宋" w:cs="微软简老宋"/>
          <w:b w:val="0"/>
          <w:bCs w:val="0"/>
          <w:color w:val="7030A0"/>
          <w:sz w:val="32"/>
          <w:szCs w:val="32"/>
          <w:lang w:val="en-US" w:eastAsia="zh-CN"/>
        </w:rPr>
        <w:t>单元一  老年人的能量</w:t>
      </w:r>
      <w:bookmarkStart w:id="2" w:name="_GoBack"/>
      <w:bookmarkEnd w:id="2"/>
      <w:r>
        <w:rPr>
          <w:rFonts w:hint="eastAsia" w:ascii="微软简老宋" w:hAnsi="微软简老宋" w:eastAsia="微软简老宋" w:cs="微软简老宋"/>
          <w:b w:val="0"/>
          <w:bCs w:val="0"/>
          <w:color w:val="7030A0"/>
          <w:sz w:val="32"/>
          <w:szCs w:val="32"/>
          <w:lang w:val="en-US" w:eastAsia="zh-CN"/>
        </w:rPr>
        <w:t>需求</w:t>
      </w:r>
    </w:p>
    <w:tbl>
      <w:tblPr>
        <w:tblStyle w:val="10"/>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hAnsi="宋体"/>
                <w:b/>
                <w:color w:val="7030A0"/>
                <w:sz w:val="32"/>
                <w:szCs w:val="32"/>
                <w:lang w:val="en-US" w:eastAsia="zh-CN"/>
              </w:rPr>
              <w:t>老年人的热能需求</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7A5FCABD">
            <w:pPr>
              <w:keepNext w:val="0"/>
              <w:keepLines w:val="0"/>
              <w:suppressLineNumbers w:val="0"/>
              <w:spacing w:before="0" w:beforeAutospacing="0" w:after="0" w:afterAutospacing="0" w:line="360" w:lineRule="auto"/>
              <w:ind w:left="0" w:right="0"/>
              <w:rPr>
                <w:rFonts w:hint="default" w:ascii="Times New Roman" w:hAnsi="宋体" w:cs="Times New Roman"/>
                <w:bCs/>
                <w:sz w:val="24"/>
                <w:szCs w:val="24"/>
                <w:lang w:val="en-US" w:eastAsia="zh-CN"/>
              </w:rPr>
            </w:pPr>
            <w:r>
              <w:rPr>
                <w:rFonts w:hint="eastAsia" w:ascii="Times New Roman" w:hAnsi="宋体" w:cs="Times New Roman"/>
                <w:bCs/>
                <w:sz w:val="24"/>
                <w:szCs w:val="24"/>
                <w:lang w:val="en-US" w:eastAsia="zh-CN"/>
              </w:rPr>
              <w:t>1.陈述基础代谢、食物特殊能力任用、热能系数、身体活动等基本概念；老年人基础代谢能量计算方法。</w:t>
            </w:r>
          </w:p>
          <w:p w14:paraId="0A476C41">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eastAsia" w:ascii="Times New Roman" w:hAnsi="宋体" w:cs="Times New Roman"/>
                <w:bCs/>
                <w:sz w:val="24"/>
                <w:szCs w:val="24"/>
                <w:lang w:val="en-US" w:eastAsia="zh-CN"/>
              </w:rPr>
              <w:t>2.能运用公式法、估算法等方法确定老年人基础代谢能量；运用微型营养评估简表（MNA-SF）对老年人营养状况进行评价；能精准确定老年人每日三大产热营养素需要量。</w:t>
            </w:r>
          </w:p>
          <w:p w14:paraId="64F9F6E3">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3E2BAE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sz w:val="24"/>
                <w:szCs w:val="24"/>
              </w:rPr>
            </w:pPr>
            <w:r>
              <w:rPr>
                <w:rFonts w:hint="eastAsia" w:ascii="Times New Roman" w:hAnsi="宋体" w:cs="Times New Roman"/>
                <w:bCs/>
                <w:sz w:val="24"/>
                <w:szCs w:val="24"/>
                <w:lang w:val="en-US" w:eastAsia="zh-CN"/>
              </w:rPr>
              <w:t>1.全面关注老年人健康，进一步增进专业认同感；切实增强标准化意识，进一步树立细心责任心。</w:t>
            </w: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4D74BA4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color w:val="7030A0"/>
                <w:sz w:val="24"/>
                <w:szCs w:val="24"/>
              </w:rPr>
              <w:t>教学重点：</w:t>
            </w:r>
            <w:r>
              <w:rPr>
                <w:rFonts w:hint="eastAsia" w:ascii="Times New Roman" w:hAnsi="宋体" w:cs="Times New Roman"/>
                <w:bCs/>
                <w:sz w:val="24"/>
                <w:szCs w:val="24"/>
                <w:lang w:val="en-US" w:eastAsia="zh-CN"/>
              </w:rPr>
              <w:t>基础代谢、食物特殊能力任用、热能系数、身体活动</w:t>
            </w:r>
          </w:p>
          <w:p w14:paraId="3D51F38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color w:val="7030A0"/>
                <w:sz w:val="24"/>
                <w:szCs w:val="24"/>
              </w:rPr>
              <w:t>教学难点：</w:t>
            </w:r>
            <w:r>
              <w:rPr>
                <w:rFonts w:hint="eastAsia" w:ascii="Times New Roman" w:hAnsi="宋体" w:cs="Times New Roman"/>
                <w:bCs/>
                <w:sz w:val="24"/>
                <w:szCs w:val="24"/>
                <w:lang w:val="en-US" w:eastAsia="zh-CN"/>
              </w:rPr>
              <w:t>精准确定老年人每日三大产热营养素需要量</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r>
              <w:rPr>
                <w:rFonts w:hint="eastAsia" w:ascii="Times New Roman" w:hAnsi="宋体"/>
                <w:sz w:val="24"/>
                <w:szCs w:val="24"/>
                <w:lang w:eastAsia="zh-CN"/>
              </w:rPr>
              <w:t>、</w:t>
            </w:r>
            <w:r>
              <w:rPr>
                <w:rFonts w:hint="eastAsia" w:ascii="Times New Roman" w:hAnsi="宋体"/>
                <w:sz w:val="24"/>
                <w:szCs w:val="24"/>
                <w:lang w:val="en-US" w:eastAsia="zh-CN"/>
              </w:rPr>
              <w:t>超星学习通app</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lang w:val="en-US" w:eastAsia="zh-CN"/>
              </w:rPr>
              <w:t>与运用</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4D64A871">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lang w:val="en-US" w:eastAsia="zh-CN"/>
              </w:rPr>
              <w:t>与运用</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宋体" w:cs="Times New Roman"/>
                <w:sz w:val="24"/>
                <w:szCs w:val="24"/>
                <w:lang w:val="en-US" w:eastAsia="zh-CN"/>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宋体" w:cs="Times New Roman"/>
                <w:sz w:val="24"/>
                <w:szCs w:val="24"/>
                <w:lang w:val="en-US" w:eastAsia="zh-CN"/>
              </w:rPr>
              <w:t>运用超星学习通app考勤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w:t>
            </w:r>
            <w:r>
              <w:rPr>
                <w:rFonts w:hint="eastAsia" w:ascii="Times New Roman" w:hAnsi="Times New Roman"/>
                <w:color w:val="548235" w:themeColor="accent6" w:themeShade="BF"/>
                <w:sz w:val="24"/>
                <w:szCs w:val="24"/>
                <w:lang w:val="en-US" w:eastAsia="zh-CN"/>
              </w:rPr>
              <w:t>核对考勤结果并</w:t>
            </w:r>
            <w:r>
              <w:rPr>
                <w:rFonts w:hint="eastAsia" w:ascii="Times New Roman" w:hAnsi="Times New Roman"/>
                <w:color w:val="548235" w:themeColor="accent6" w:themeShade="BF"/>
                <w:sz w:val="24"/>
                <w:szCs w:val="24"/>
              </w:rPr>
              <w:t>报请假人员及原因</w:t>
            </w:r>
          </w:p>
        </w:tc>
        <w:tc>
          <w:tcPr>
            <w:tcW w:w="169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加强课堂组织性；及时</w:t>
            </w:r>
            <w:r>
              <w:rPr>
                <w:rFonts w:hint="eastAsia" w:ascii="Times New Roman" w:hAnsi="Times New Roman"/>
                <w:sz w:val="24"/>
                <w:szCs w:val="24"/>
              </w:rPr>
              <w:t>掌握学生</w:t>
            </w:r>
            <w:r>
              <w:rPr>
                <w:rFonts w:hint="eastAsia" w:ascii="Times New Roman" w:hAnsi="Times New Roman"/>
                <w:sz w:val="24"/>
                <w:szCs w:val="24"/>
                <w:lang w:val="en-US" w:eastAsia="zh-CN"/>
              </w:rPr>
              <w:t>动态，保证学生安全</w:t>
            </w: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6D161801">
            <w:pPr>
              <w:keepNext w:val="0"/>
              <w:keepLines w:val="0"/>
              <w:widowControl/>
              <w:suppressLineNumbers w:val="0"/>
              <w:spacing w:before="0" w:beforeAutospacing="0" w:after="0" w:afterAutospacing="0" w:line="360" w:lineRule="auto"/>
              <w:ind w:left="0" w:right="0"/>
              <w:jc w:val="left"/>
              <w:rPr>
                <w:rFonts w:hint="default"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cs="宋体"/>
                <w:b w:val="0"/>
                <w:bCs/>
                <w:color w:val="C00000"/>
                <w:kern w:val="2"/>
                <w:sz w:val="24"/>
                <w:szCs w:val="24"/>
                <w:lang w:val="en-US" w:eastAsia="zh-CN" w:bidi="ar"/>
              </w:rPr>
              <w:t>老年人的热能需求</w:t>
            </w:r>
          </w:p>
          <w:p w14:paraId="4B5255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一、概念</w:t>
            </w:r>
          </w:p>
          <w:p w14:paraId="3E81A6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能量（energy）是一切生物维持生命活动的基础，能量不能被创造和消灭，而是遵循能量守恒定律从一种形式转化为另一种形式，人体也不例外。能量在人体内一部分转化为热量维持体温恒定并不断地向外环境散发，另一部分维持人体各种生理和体力活动正常进行。能量的国际单位是焦耳（joule，J），营养学使用的是其1000倍单位，即千焦耳（kilojoule，kJ）。有些国家仍继用卡（calorie，cal）和千卡（kilo calories，kcal）。二者换算关系如下：</w:t>
            </w:r>
          </w:p>
          <w:p w14:paraId="5E9272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1cal＝4.184J，1J＝0.239cal</w:t>
            </w:r>
          </w:p>
          <w:p w14:paraId="7E642B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或1000kcal＝4.184MJ，1MJ＝239kcal。</w:t>
            </w:r>
          </w:p>
          <w:p w14:paraId="4BC2B9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二、老年人的生理特点</w:t>
            </w:r>
          </w:p>
          <w:p w14:paraId="319C52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1、代谢功能降低</w:t>
            </w:r>
          </w:p>
          <w:p w14:paraId="56B4CC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（1）基础代谢下降  50岁后身体瘦小者，基础代谢率将降低10％～15％，甚至更高。</w:t>
            </w:r>
          </w:p>
          <w:p w14:paraId="195993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（2）细胞功能改变  细胞功能下降。</w:t>
            </w:r>
          </w:p>
          <w:p w14:paraId="01822C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（3）器官功能改变 脑、心、肺、肾、肝及胃肠功能均随年龄增高，呈不同程度下降，免疫功能也会下降。</w:t>
            </w:r>
          </w:p>
          <w:p w14:paraId="0B6333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2、体成分改变</w:t>
            </w:r>
          </w:p>
          <w:p w14:paraId="5AE408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体内脂肪组织随年龄增长而增加，而脂肪以外组织随年龄增长而减少。</w:t>
            </w:r>
          </w:p>
          <w:p w14:paraId="34F97B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（1）细胞数量下降突出  表现为肌肉组织重量减少，出现肌肉萎缩。</w:t>
            </w:r>
          </w:p>
          <w:p w14:paraId="480A62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（2）体内水分减少  主要为细胞内液明显减少。</w:t>
            </w:r>
          </w:p>
          <w:p w14:paraId="54A0FB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（3）骨组织矿物质减少 尤其是钙减少，因此，老年人易发生不同程度骨质疏松症及骨折。</w:t>
            </w:r>
          </w:p>
          <w:p w14:paraId="373948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3、生理功能改变</w:t>
            </w:r>
          </w:p>
          <w:p w14:paraId="0FA6A1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（1）心血管系统功能衰退；（2）呼吸器官老化；（3）消化功能降低；（4）脑、肾及肝功能降低；（5）运动功能减退等。</w:t>
            </w:r>
          </w:p>
          <w:p w14:paraId="3808B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bookmarkStart w:id="0" w:name="_Toc125100438"/>
            <w:bookmarkStart w:id="1" w:name="_Toc125104475"/>
            <w:r>
              <w:rPr>
                <w:rFonts w:hint="eastAsia" w:ascii="Times New Roman" w:hAnsi="宋体" w:cs="Times New Roman"/>
                <w:sz w:val="24"/>
                <w:szCs w:val="24"/>
                <w:lang w:val="en-US" w:eastAsia="zh-CN"/>
              </w:rPr>
              <w:t>三、老年人的能量消耗</w:t>
            </w:r>
            <w:bookmarkEnd w:id="0"/>
            <w:bookmarkEnd w:id="1"/>
          </w:p>
          <w:p w14:paraId="36F828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（一）、基础代谢</w:t>
            </w:r>
          </w:p>
          <w:p w14:paraId="685D64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基础代谢（basal metablism）是维持人体最基本生命活动所必需的能量消耗，是人体能量消耗的主要部分，约占人体总能量消耗的60%～70%。</w:t>
            </w:r>
          </w:p>
          <w:p w14:paraId="67C1EF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基础代谢的定义为经过10～12小时空腹和良好的睡眠，清醒仰卧，恒温条件下（一般为22℃～26℃），无任何身体活动和紧张的思维活动，全身肌肉放松时所需的能量消耗。此时能量仅用于维持体温、心跳、呼吸、各器官组织和细胞功能等最基本的生命活动。</w:t>
            </w:r>
          </w:p>
          <w:p w14:paraId="2B107E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宋体" w:cs="Times New Roman"/>
                <w:sz w:val="24"/>
                <w:szCs w:val="24"/>
                <w:lang w:val="en-US" w:eastAsia="zh-CN"/>
              </w:rPr>
            </w:pPr>
            <w:r>
              <w:rPr>
                <w:rFonts w:hint="eastAsia" w:ascii="Times New Roman" w:hAnsi="宋体" w:cs="Times New Roman"/>
                <w:sz w:val="24"/>
                <w:szCs w:val="24"/>
                <w:lang w:val="en-US" w:eastAsia="zh-CN"/>
              </w:rPr>
              <w:t>基础代谢的水平用基础代谢率（BMR）来表示，指人体处于基础代谢状态下，每小时每平方米体表面积（或每千克体重）能量消耗。BMR的常用单位为kJ/（kg</w:t>
            </w:r>
            <w:r>
              <w:rPr>
                <w:rFonts w:hint="default" w:ascii="Times New Roman" w:hAnsi="宋体" w:cs="Times New Roman"/>
                <w:sz w:val="24"/>
                <w:szCs w:val="24"/>
                <w:lang w:val="en-US" w:eastAsia="zh-CN"/>
              </w:rPr>
              <w:t>•</w:t>
            </w:r>
            <w:r>
              <w:rPr>
                <w:rFonts w:hint="eastAsia" w:ascii="Times New Roman" w:hAnsi="宋体" w:cs="Times New Roman"/>
                <w:sz w:val="24"/>
                <w:szCs w:val="24"/>
                <w:lang w:val="en-US" w:eastAsia="zh-CN"/>
              </w:rPr>
              <w:t>h）或kJ/（m2</w:t>
            </w:r>
            <w:r>
              <w:rPr>
                <w:rFonts w:hint="default" w:ascii="Times New Roman" w:hAnsi="宋体" w:cs="Times New Roman"/>
                <w:sz w:val="24"/>
                <w:szCs w:val="24"/>
                <w:lang w:val="en-US" w:eastAsia="zh-CN"/>
              </w:rPr>
              <w:t>•</w:t>
            </w:r>
            <w:r>
              <w:rPr>
                <w:rFonts w:hint="eastAsia" w:ascii="Times New Roman" w:hAnsi="宋体" w:cs="Times New Roman"/>
                <w:sz w:val="24"/>
                <w:szCs w:val="24"/>
                <w:lang w:val="en-US" w:eastAsia="zh-CN"/>
              </w:rPr>
              <w:t>h）。按下列方法可计算出每天基础代谢能量消耗（BEE）。</w:t>
            </w:r>
          </w:p>
          <w:p w14:paraId="56D00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1、公式法</w:t>
            </w:r>
          </w:p>
          <w:p w14:paraId="3952B3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男BEE＝66.47＋13.75×体重（kg）＋5.0×身高（cm）－6.76×年龄（y）</w:t>
            </w:r>
          </w:p>
          <w:p w14:paraId="546FD1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女BEE＝655.1＋9.5×体重（kg）＋1.8×身长（cm）－4.7×年龄（y）</w:t>
            </w:r>
          </w:p>
          <w:p w14:paraId="0CA548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2、估算法　</w:t>
            </w:r>
          </w:p>
          <w:p w14:paraId="078EB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成人按每千克体重每小时男性lkcal（4.18kJ），女性0.95kcal（3.97kJ），与体重相乘，直接计算。</w:t>
            </w:r>
          </w:p>
          <w:p w14:paraId="49D85B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人体基础代谢受以下因素影响：</w:t>
            </w:r>
          </w:p>
          <w:p w14:paraId="50BEE7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b/>
                <w:sz w:val="24"/>
                <w:szCs w:val="24"/>
              </w:rPr>
            </w:pPr>
            <w:r>
              <w:rPr>
                <w:rFonts w:hint="eastAsia" w:ascii="Times New Roman" w:hAnsi="宋体" w:cs="Times New Roman"/>
                <w:sz w:val="24"/>
                <w:szCs w:val="24"/>
                <w:lang w:val="en-US" w:eastAsia="zh-CN"/>
              </w:rPr>
              <w:t xml:space="preserve">（1）体表面积 （2）年龄 （3）性别（4）激素（5）季节与劳动强度 （6）其他因素  </w:t>
            </w:r>
          </w:p>
        </w:tc>
        <w:tc>
          <w:tcPr>
            <w:tcW w:w="1696" w:type="dxa"/>
            <w:tcBorders>
              <w:tl2br w:val="nil"/>
              <w:tr2bl w:val="nil"/>
            </w:tcBorders>
            <w:vAlign w:val="center"/>
          </w:tcPr>
          <w:p w14:paraId="2B47804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课前通过超星学习通发布问卷</w:t>
            </w:r>
            <w:r>
              <w:rPr>
                <w:rFonts w:hint="eastAsia" w:ascii="Times New Roman" w:hAnsi="Times New Roman"/>
                <w:b/>
                <w:sz w:val="24"/>
                <w:szCs w:val="24"/>
              </w:rPr>
              <w:t>，</w:t>
            </w:r>
            <w:r>
              <w:rPr>
                <w:rFonts w:hint="eastAsia" w:ascii="Times New Roman" w:hAnsi="Times New Roman"/>
                <w:b/>
                <w:sz w:val="24"/>
                <w:szCs w:val="24"/>
                <w:lang w:val="en-US" w:eastAsia="zh-CN"/>
              </w:rPr>
              <w:t>了解</w:t>
            </w:r>
            <w:r>
              <w:rPr>
                <w:rFonts w:hint="eastAsia" w:ascii="Times New Roman" w:hAnsi="Times New Roman"/>
                <w:b/>
                <w:sz w:val="24"/>
                <w:szCs w:val="24"/>
                <w:lang w:eastAsia="zh-CN"/>
              </w:rPr>
              <w:t>学生</w:t>
            </w:r>
            <w:r>
              <w:rPr>
                <w:rFonts w:hint="eastAsia" w:ascii="Times New Roman" w:hAnsi="Times New Roman"/>
                <w:b/>
                <w:sz w:val="24"/>
                <w:szCs w:val="24"/>
                <w:lang w:val="en-US" w:eastAsia="zh-CN"/>
              </w:rPr>
              <w:t>对知识掌握情况及预学习情况</w:t>
            </w:r>
            <w:r>
              <w:rPr>
                <w:rFonts w:hint="eastAsia" w:ascii="Times New Roman" w:hAnsi="Times New Roman"/>
                <w:b/>
                <w:sz w:val="24"/>
                <w:szCs w:val="24"/>
                <w:lang w:eastAsia="zh-CN"/>
              </w:rPr>
              <w:t>，</w:t>
            </w:r>
            <w:r>
              <w:rPr>
                <w:rFonts w:hint="eastAsia" w:ascii="Times New Roman" w:hAnsi="Times New Roman"/>
                <w:b/>
                <w:sz w:val="24"/>
                <w:szCs w:val="24"/>
              </w:rPr>
              <w:t>激发学生的学习</w:t>
            </w:r>
            <w:r>
              <w:rPr>
                <w:rFonts w:hint="eastAsia" w:ascii="Times New Roman" w:hAnsi="Times New Roman"/>
                <w:b/>
                <w:sz w:val="24"/>
                <w:szCs w:val="24"/>
                <w:lang w:val="en-US" w:eastAsia="zh-CN"/>
              </w:rPr>
              <w:t>兴趣</w:t>
            </w:r>
            <w:r>
              <w:rPr>
                <w:rFonts w:hint="eastAsia" w:ascii="Times New Roman" w:hAnsi="Times New Roman"/>
                <w:b/>
                <w:sz w:val="24"/>
                <w:szCs w:val="24"/>
              </w:rPr>
              <w:t>。</w:t>
            </w:r>
          </w:p>
        </w:tc>
      </w:tr>
      <w:tr w14:paraId="392EEC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F8BB64B">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1F1AEF0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7E27EDF">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某成子男子，体重70kg；某成年女子，体重为55kg，请问他们的基础代谢能量多少？</w:t>
            </w:r>
          </w:p>
        </w:tc>
        <w:tc>
          <w:tcPr>
            <w:tcW w:w="1696" w:type="dxa"/>
            <w:tcBorders>
              <w:tl2br w:val="nil"/>
              <w:tr2bl w:val="nil"/>
            </w:tcBorders>
            <w:vAlign w:val="center"/>
          </w:tcPr>
          <w:p w14:paraId="74A4388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28AD4BE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661651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97791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536D5C21">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展示ICU 的收治程序、对象及治疗原则</w:t>
            </w:r>
          </w:p>
          <w:p w14:paraId="0D5BF7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三、老年人的能量消耗</w:t>
            </w:r>
          </w:p>
          <w:p w14:paraId="47DD9D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（一）、基础代谢</w:t>
            </w:r>
          </w:p>
          <w:p w14:paraId="24C85E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（二）、身体活动</w:t>
            </w:r>
          </w:p>
          <w:p w14:paraId="42B19D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除基础代谢外，体力活动消耗的能量是影响人体总能量消耗的最重要部分，约占人体总能量消耗15％～30％。这是人体能量消耗变化最大，也是人体控制能量消耗、保持能量平衡维持健康最重要部分。身体活动所消耗能量多少与3个因素有关。①肌肉越发达者，活动时消耗能量越多。②体重超重者，做相同运动所消耗能量也越多。③活动时间越长、强度越大、消耗能量越多。</w:t>
            </w:r>
          </w:p>
          <w:p w14:paraId="081FC0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身体活动（PA）是指骨骼肌收缩导致机体能量消耗明显增加的各种活动。根据能量供应途径可以分为有氧运动和无氧运动，按日常生活可以分为职业性身体活动、交通往来身体活动、家务性身体活动、闲暇时间身体活动，按生理功能可以分为有氧运动、抗阻力活动、关节柔韧性活动、身体平衡和协调性练习。经常参加中等强度身体活动的人群，心血管病、糖尿病、肿瘤的患病率和病死率均低于不经常参加身体活动的人群。《中国居民膳食营养素参考摄入量DRIs（2023）》将身体活动水平（physical activity level,PAL）分为三个级别，Ⅰ=1.40（低强度），Ⅱ=1.70（中强度），Ⅲ=2.00（高强度）</w:t>
            </w:r>
          </w:p>
          <w:p w14:paraId="054AB5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（三）、食物热效应</w:t>
            </w:r>
          </w:p>
          <w:p w14:paraId="657837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食物热效应（TEF），也称食物特殊动力作用（specific dynamic action，SDA），是人体在摄食过程中引进的额外能量消耗，是人体在摄食后对食物中营养素进行消化，吸收、代谢转化而消耗的能量，同时引起体温升高和能量散发。</w:t>
            </w:r>
          </w:p>
          <w:p w14:paraId="092AA4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不同成分的食物热效应不等。脂肪食物热效应消耗本身产生效能4％～5％，碳水化合物为5％～6％，蛋白质最高为20%～30％。食物热效应与食物成分、进食量和进食频率有关。通常含蛋白质丰富的食物最高，其次是富含碳水化合物食物，最后才是富含脂肪食物。人体每日由于食物热效应而额外增加的能量消耗约占总能量消耗的10％。</w:t>
            </w:r>
          </w:p>
          <w:p w14:paraId="19C4A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四、老年人的能量需要量</w:t>
            </w:r>
          </w:p>
          <w:p w14:paraId="2CE6EF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宋体" w:cs="Times New Roman"/>
                <w:sz w:val="24"/>
                <w:szCs w:val="24"/>
                <w:lang w:val="en-US" w:eastAsia="zh-CN"/>
              </w:rPr>
            </w:pPr>
            <w:r>
              <w:rPr>
                <w:rFonts w:hint="eastAsia" w:ascii="Times New Roman" w:hAnsi="宋体" w:cs="Times New Roman"/>
                <w:sz w:val="24"/>
                <w:szCs w:val="24"/>
                <w:lang w:val="en-US" w:eastAsia="zh-CN"/>
              </w:rPr>
              <w:t>《中国居民膳食营养素参考摄入量DRIs（2023）》推荐我国65～74老年男性每日热能参考摄入量（RNI=Recommended Nutrients Intakes）为7.95MJ（低强度身体活动）和9.62MJ（高强度身体活动），65～74老年女性每日热能参考摄入量为6.49MJ（低强度身体活动）和7.74MJ（高强度身体活动）；75岁以上老年男性每日热能参考摄入量为7.53MJ（低强度身体活动）和9.20MJ（高强度身体活动），75岁以上老年女性每日热能参考摄入量为6.28MJ（低强度身体活动）和7.32MJ（高强度身体活动）。详情请参考《常见身体活动强度和能量消耗表》。</w:t>
            </w:r>
          </w:p>
          <w:p w14:paraId="5A1995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宋体" w:cs="Times New Roman"/>
                <w:sz w:val="24"/>
                <w:szCs w:val="24"/>
                <w:lang w:val="en-US" w:eastAsia="zh-CN"/>
              </w:rPr>
            </w:pPr>
            <w:r>
              <w:rPr>
                <w:rFonts w:hint="eastAsia" w:ascii="Times New Roman" w:hAnsi="宋体" w:cs="Times New Roman"/>
                <w:sz w:val="24"/>
                <w:szCs w:val="24"/>
                <w:lang w:val="en-US" w:eastAsia="zh-CN"/>
              </w:rPr>
              <w:t>四、老年人的能量供给和食物来源</w:t>
            </w:r>
          </w:p>
          <w:p w14:paraId="2FDE9A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人体能量代谢最佳状态是达到能量消耗与能量摄入平衡。这种能量平衡能使机体保持健康，并能胜任必要的社会、生产和经济活动。</w:t>
            </w:r>
          </w:p>
          <w:p w14:paraId="2D937F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能量平衡与否，与健康关系极大。由于饥饿或疾病等原因，引起能量摄入不足，可致体力下降、工作效率低下。而能量摄入不是造成脂肪贮存太少，身体对环境适应能力和抗病能力下降。女性体重太低，性成熟延迟，易生产低体重婴儿。老年人能量摄入不足，会增加营养不良危险；过多的能量摄入则会导致超重及肥胖患病率快速增长，而超重肥胖肥是心血管疾病、高血压、糖尿病、癌症等疾病重要的危险因素。</w:t>
            </w:r>
          </w:p>
          <w:p w14:paraId="61E07D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食物中的碳水化合物、脂肪和蛋白质是人体的能量来源，这三种产热营养素普遍存在于各类食物中。动物性食物含有较多的脂肪和蛋白质。植物性食物中的油料作物的籽仁含有丰富的脂肪；谷类中则以碳水化合物为主。大豆除含脂肪外还含有丰富的蛋白质；坚果，如花生、核桃等与大豆近似；蔬菜水果中含能量很少。 </w:t>
            </w:r>
          </w:p>
          <w:p w14:paraId="41E17D2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Times New Roman" w:hAnsi="宋体" w:cs="Times New Roman"/>
                <w:sz w:val="24"/>
                <w:szCs w:val="24"/>
                <w:lang w:val="en-US" w:eastAsia="zh-CN"/>
              </w:rPr>
              <w:t>碳水化合物、脂肪和蛋白质这三种供给能量的营养素在代谢中可以互相转化，但彼此不能完全替代，因为它们在人体内还各自有独特的生理功能。它们在膳食中应保持恰当的比例。根据我国人民膳食习惯，《中国居民膳食营养素参考摄入量DRIs（2023）》建议老年人摄入的总能量中碳水化合物提供的能量占比为50％～65％，脂肪提供的能量占比为20％～30％，蛋白质提供的能量占比为15％～20％。</w:t>
            </w:r>
          </w:p>
          <w:p w14:paraId="73C2E3D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864B12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老年人能量消耗、能量供给的基本理论知</w:t>
            </w:r>
            <w:r>
              <w:rPr>
                <w:rFonts w:hint="eastAsia" w:ascii="Times New Roman" w:hAnsi="Times New Roman"/>
                <w:b/>
                <w:sz w:val="24"/>
                <w:szCs w:val="24"/>
              </w:rPr>
              <w:t>识。</w:t>
            </w:r>
          </w:p>
        </w:tc>
      </w:tr>
      <w:tr w14:paraId="7DC5B49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074CA3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1A1C2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1E1F02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337692B">
            <w:pPr>
              <w:keepNext w:val="0"/>
              <w:keepLines w:val="0"/>
              <w:suppressLineNumbers w:val="0"/>
              <w:spacing w:before="0" w:beforeAutospacing="0" w:after="0" w:afterAutospacing="0" w:line="360" w:lineRule="auto"/>
              <w:ind w:left="239" w:leftChars="114" w:right="0" w:firstLine="472" w:firstLineChars="196"/>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w:t>
            </w:r>
            <w:r>
              <w:rPr>
                <w:rFonts w:hint="eastAsia" w:ascii="宋体" w:hAnsi="宋体" w:cs="宋体"/>
                <w:b/>
                <w:bCs w:val="0"/>
                <w:kern w:val="2"/>
                <w:sz w:val="24"/>
                <w:szCs w:val="24"/>
                <w:lang w:val="en-US" w:eastAsia="zh-CN" w:bidi="ar"/>
              </w:rPr>
              <w:t>次</w:t>
            </w:r>
            <w:r>
              <w:rPr>
                <w:rFonts w:hint="eastAsia" w:ascii="宋体" w:hAnsi="宋体" w:eastAsia="宋体" w:cs="宋体"/>
                <w:b/>
                <w:bCs w:val="0"/>
                <w:kern w:val="2"/>
                <w:sz w:val="24"/>
                <w:szCs w:val="24"/>
                <w:lang w:val="en-US" w:eastAsia="zh-CN" w:bidi="ar"/>
              </w:rPr>
              <w:t>课我们一起学习基础代谢、食物特殊能力任用、热能系数、身体活动等基本概念和老年人基础代谢能量计算方法等知识，让大家掌握了每日热能需要量及三大产热营养素需要量计算方法。</w:t>
            </w:r>
          </w:p>
        </w:tc>
        <w:tc>
          <w:tcPr>
            <w:tcW w:w="1696" w:type="dxa"/>
            <w:tcBorders>
              <w:tl2br w:val="nil"/>
              <w:tr2bl w:val="nil"/>
            </w:tcBorders>
            <w:vAlign w:val="center"/>
          </w:tcPr>
          <w:p w14:paraId="1B253B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0C22C7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5C4123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54149AF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80A5C0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某女大学生，身高165cm，体重60kg，性格文静。问其每日热能需要量多少？所需三大产热营养素数量多少？</w:t>
            </w:r>
          </w:p>
        </w:tc>
        <w:tc>
          <w:tcPr>
            <w:tcW w:w="1696" w:type="dxa"/>
            <w:tcBorders>
              <w:tl2br w:val="nil"/>
              <w:tr2bl w:val="nil"/>
            </w:tcBorders>
            <w:vAlign w:val="center"/>
          </w:tcPr>
          <w:p w14:paraId="1E3B54E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77B8AD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E5B672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023B54B0">
            <w:pPr>
              <w:keepNext w:val="0"/>
              <w:keepLines w:val="0"/>
              <w:suppressLineNumbers w:val="0"/>
              <w:spacing w:before="0" w:beforeAutospacing="0" w:after="0" w:afterAutospacing="0" w:line="360" w:lineRule="auto"/>
              <w:ind w:left="0" w:right="0" w:firstLine="480" w:firstLineChars="200"/>
              <w:rPr>
                <w:rFonts w:hint="default" w:ascii="Times New Roman" w:hAnsi="Times New Roman"/>
                <w:sz w:val="24"/>
                <w:szCs w:val="24"/>
              </w:rPr>
            </w:pPr>
            <w:r>
              <w:rPr>
                <w:rFonts w:hint="eastAsia" w:ascii="Times New Roman" w:hAnsi="Times New Roman"/>
                <w:sz w:val="24"/>
                <w:szCs w:val="24"/>
                <w:lang w:val="en-US" w:eastAsia="zh-CN"/>
              </w:rPr>
              <w:t>请计算你本人</w:t>
            </w:r>
            <w:r>
              <w:rPr>
                <w:rFonts w:hint="eastAsia" w:ascii="宋体" w:hAnsi="宋体" w:cs="宋体"/>
                <w:bCs/>
                <w:kern w:val="2"/>
                <w:sz w:val="24"/>
                <w:szCs w:val="24"/>
                <w:lang w:val="en-US" w:eastAsia="zh-CN" w:bidi="ar"/>
              </w:rPr>
              <w:t>每日热能需要量及三大产热营养素需要量，并通过超星学习通上传计算过程及结果</w:t>
            </w:r>
            <w:r>
              <w:rPr>
                <w:rFonts w:hint="default" w:ascii="Times New Roman" w:hAnsi="Times New Roman"/>
                <w:sz w:val="24"/>
                <w:szCs w:val="24"/>
              </w:rPr>
              <w:t>。</w:t>
            </w:r>
          </w:p>
        </w:tc>
      </w:tr>
    </w:tbl>
    <w:p w14:paraId="42A2997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FB84519"/>
    <w:rsid w:val="20ED2293"/>
    <w:rsid w:val="20F13C9B"/>
    <w:rsid w:val="21ED3737"/>
    <w:rsid w:val="238347DF"/>
    <w:rsid w:val="24B477DD"/>
    <w:rsid w:val="278141AB"/>
    <w:rsid w:val="28B578A7"/>
    <w:rsid w:val="2FBD002D"/>
    <w:rsid w:val="322A12C5"/>
    <w:rsid w:val="34AD60CD"/>
    <w:rsid w:val="34B67F89"/>
    <w:rsid w:val="368D542E"/>
    <w:rsid w:val="388B134B"/>
    <w:rsid w:val="436C72A2"/>
    <w:rsid w:val="43CD7F64"/>
    <w:rsid w:val="44B33A23"/>
    <w:rsid w:val="45C91BBA"/>
    <w:rsid w:val="49F8701E"/>
    <w:rsid w:val="4C7F0E23"/>
    <w:rsid w:val="5A7C6694"/>
    <w:rsid w:val="5BA33634"/>
    <w:rsid w:val="600E33E1"/>
    <w:rsid w:val="622A303A"/>
    <w:rsid w:val="723010AC"/>
    <w:rsid w:val="75B75A13"/>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3364</Words>
  <Characters>3769</Characters>
  <Lines>1</Lines>
  <Paragraphs>1</Paragraphs>
  <TotalTime>10</TotalTime>
  <ScaleCrop>false</ScaleCrop>
  <LinksUpToDate>false</LinksUpToDate>
  <CharactersWithSpaces>3813</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嘟嘟</cp:lastModifiedBy>
  <dcterms:modified xsi:type="dcterms:W3CDTF">2025-09-01T06:57:04Z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30E5848F283C4E1BA255659BC42DD711_13</vt:lpwstr>
  </property>
  <property fmtid="{D5CDD505-2E9C-101B-9397-08002B2CF9AE}" pid="4" name="KSOTemplateDocerSaveRecord">
    <vt:lpwstr>eyJoZGlkIjoiNTRhMzg2OWJjMjI3MTg1NjMwMzY2YzM2YjFhZmRkZDkiLCJ1c2VySWQiOiI2NzMyNTM1ODMifQ==</vt:lpwstr>
  </property>
</Properties>
</file>